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C4DD" w14:textId="77777777" w:rsidR="00C03EBA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245EF39" w14:textId="019BBF93" w:rsidR="00C03EBA" w:rsidRDefault="000C65F8" w:rsidP="00EF61C0">
      <w:pPr>
        <w:spacing w:line="560" w:lineRule="exact"/>
        <w:jc w:val="center"/>
        <w:rPr>
          <w:rFonts w:asciiTheme="minorEastAsia" w:eastAsiaTheme="minorEastAsia" w:hAnsiTheme="minorEastAsia" w:cstheme="minorEastAsia" w:hint="eastAsia"/>
          <w:w w:val="105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w w:val="105"/>
          <w:sz w:val="32"/>
          <w:szCs w:val="32"/>
        </w:rPr>
        <w:t>安标评审划分标准</w:t>
      </w:r>
    </w:p>
    <w:p w14:paraId="0A7C5A29" w14:textId="77777777" w:rsidR="00EF61C0" w:rsidRDefault="00EF61C0">
      <w:pPr>
        <w:pStyle w:val="a8"/>
        <w:spacing w:line="440" w:lineRule="exact"/>
        <w:ind w:firstLineChars="0" w:firstLine="0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2FF75598" w14:textId="6BCBF4D4" w:rsidR="00C03EBA" w:rsidRDefault="00000000">
      <w:pPr>
        <w:pStyle w:val="a8"/>
        <w:spacing w:line="440" w:lineRule="exact"/>
        <w:ind w:firstLineChars="0" w:firstLine="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评分表设标准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分值、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空项得分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和实际得分。</w:t>
      </w:r>
      <w:r w:rsidR="00A86ADA"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</w:t>
      </w:r>
    </w:p>
    <w:p w14:paraId="3E9B73AC" w14:textId="77777777" w:rsidR="00C03EBA" w:rsidRDefault="00000000">
      <w:pPr>
        <w:pStyle w:val="a9"/>
        <w:numPr>
          <w:ilvl w:val="2"/>
          <w:numId w:val="0"/>
        </w:numPr>
        <w:spacing w:line="440" w:lineRule="exact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标准分值：每项评审细则的最高分值。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总标准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分值为1000分。</w:t>
      </w:r>
    </w:p>
    <w:p w14:paraId="6CB163F3" w14:textId="77777777" w:rsidR="00C03EBA" w:rsidRDefault="00000000">
      <w:pPr>
        <w:pStyle w:val="a9"/>
        <w:numPr>
          <w:ilvl w:val="2"/>
          <w:numId w:val="0"/>
        </w:numPr>
        <w:spacing w:line="440" w:lineRule="exact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空项得分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：不参与评审内容的该项标准分值。</w:t>
      </w:r>
    </w:p>
    <w:p w14:paraId="6C5452A4" w14:textId="77777777" w:rsidR="00C03EBA" w:rsidRDefault="00000000">
      <w:pPr>
        <w:pStyle w:val="a9"/>
        <w:numPr>
          <w:ilvl w:val="2"/>
          <w:numId w:val="0"/>
        </w:numPr>
        <w:spacing w:line="440" w:lineRule="exact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实际得分：按每项评审细则进行实际评审得出的分数。</w:t>
      </w:r>
    </w:p>
    <w:p w14:paraId="79F35709" w14:textId="77777777" w:rsidR="00C03EBA" w:rsidRDefault="00000000">
      <w:pPr>
        <w:pStyle w:val="a9"/>
        <w:numPr>
          <w:ilvl w:val="2"/>
          <w:numId w:val="0"/>
        </w:numPr>
        <w:spacing w:line="440" w:lineRule="exac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二、最终评审得分换算成百分制，换算公式如下：</w:t>
      </w:r>
    </w:p>
    <w:p w14:paraId="075EDF0C" w14:textId="72B34767" w:rsidR="00C03EBA" w:rsidRDefault="00000000">
      <w:pPr>
        <w:pStyle w:val="a9"/>
        <w:numPr>
          <w:ilvl w:val="0"/>
          <w:numId w:val="0"/>
        </w:numPr>
        <w:spacing w:line="440" w:lineRule="exact"/>
        <w:ind w:firstLineChars="200" w:firstLine="480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评审得分=实际得分÷（1000－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  <w:szCs w:val="24"/>
        </w:rPr>
        <w:t>空项得分</w:t>
      </w:r>
      <w:proofErr w:type="gramEnd"/>
      <w:r>
        <w:rPr>
          <w:rFonts w:asciiTheme="minorEastAsia" w:eastAsiaTheme="minorEastAsia" w:hAnsiTheme="minorEastAsia" w:cstheme="minorEastAsia" w:hint="eastAsia"/>
          <w:sz w:val="24"/>
          <w:szCs w:val="24"/>
        </w:rPr>
        <w:t>分数之和）×100</w:t>
      </w:r>
      <w:r w:rsidR="001876CF">
        <w:rPr>
          <w:rFonts w:asciiTheme="minorEastAsia" w:eastAsiaTheme="minorEastAsia" w:hAnsiTheme="minorEastAsia" w:cs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。最后得分采用四舍五入，</w:t>
      </w:r>
      <w:r w:rsidR="0006195F">
        <w:rPr>
          <w:rFonts w:asciiTheme="minorEastAsia" w:eastAsiaTheme="minorEastAsia" w:hAnsiTheme="minorEastAsia" w:cstheme="minorEastAsia" w:hint="eastAsia"/>
          <w:sz w:val="24"/>
          <w:szCs w:val="24"/>
        </w:rPr>
        <w:t>结果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保留</w:t>
      </w:r>
      <w:r w:rsidR="0006195F">
        <w:rPr>
          <w:rFonts w:asciiTheme="minorEastAsia" w:eastAsiaTheme="minorEastAsia" w:hAnsiTheme="minorEastAsia" w:cstheme="minorEastAsia" w:hint="eastAsia"/>
          <w:sz w:val="24"/>
          <w:szCs w:val="24"/>
        </w:rPr>
        <w:t>整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数。</w:t>
      </w:r>
    </w:p>
    <w:p w14:paraId="5D9F7CB1" w14:textId="62C736F2" w:rsidR="00C03EBA" w:rsidRDefault="00000000">
      <w:pPr>
        <w:pStyle w:val="a9"/>
        <w:numPr>
          <w:ilvl w:val="0"/>
          <w:numId w:val="0"/>
        </w:numPr>
        <w:spacing w:line="440" w:lineRule="exac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三、各评定要素中带“★”标识的条款检查结果如不符合，则评分结果为0分，该项目为否决项目，考核评定最终的总评分结果也为0分。所有扣分均为直到该评价项目分数扣完为止，不出现负分。</w:t>
      </w:r>
    </w:p>
    <w:p w14:paraId="4A7F6805" w14:textId="3AC08AD5" w:rsidR="00C03EBA" w:rsidRDefault="00000000">
      <w:pPr>
        <w:pStyle w:val="a0"/>
        <w:numPr>
          <w:ilvl w:val="1"/>
          <w:numId w:val="0"/>
        </w:numPr>
        <w:spacing w:beforeLines="0" w:before="0" w:afterLines="0" w:after="0" w:line="440" w:lineRule="exac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四、</w:t>
      </w:r>
      <w:r w:rsidR="0006195F">
        <w:rPr>
          <w:rFonts w:asciiTheme="minorEastAsia" w:eastAsiaTheme="minorEastAsia" w:hAnsiTheme="minorEastAsia" w:cstheme="minorEastAsia" w:hint="eastAsia"/>
          <w:sz w:val="24"/>
          <w:szCs w:val="24"/>
        </w:rPr>
        <w:t>评价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级别共分为</w:t>
      </w:r>
      <w:r w:rsidR="000C65F8"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级、</w:t>
      </w:r>
      <w:r w:rsidR="000C65F8">
        <w:rPr>
          <w:rFonts w:asciiTheme="minorEastAsia" w:eastAsiaTheme="minorEastAsia" w:hAnsiTheme="minorEastAsia" w:cs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级、</w:t>
      </w:r>
      <w:r w:rsidR="000C65F8">
        <w:rPr>
          <w:rFonts w:asciiTheme="minorEastAsia" w:eastAsiaTheme="minorEastAsia" w:hAnsiTheme="minorEastAsia" w:cstheme="minorEastAsia" w:hint="eastAsia"/>
          <w:sz w:val="24"/>
          <w:szCs w:val="24"/>
        </w:rPr>
        <w:t>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级，其中</w:t>
      </w:r>
      <w:r w:rsidR="000C65F8">
        <w:rPr>
          <w:rFonts w:asciiTheme="minorEastAsia" w:eastAsiaTheme="minorEastAsia" w:hAnsiTheme="minorEastAsia" w:cs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级为最高。</w:t>
      </w:r>
      <w:r w:rsidR="000C65F8">
        <w:rPr>
          <w:rFonts w:asciiTheme="minorEastAsia" w:eastAsiaTheme="minorEastAsia" w:hAnsiTheme="minorEastAsia" w:cstheme="minorEastAsia" w:hint="eastAsia"/>
          <w:sz w:val="24"/>
          <w:szCs w:val="24"/>
        </w:rPr>
        <w:t>安标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评审结论须同时满足评审得分和安全生产绩效的要求，按满足最低级别条件来确定贯标级别。</w:t>
      </w:r>
    </w:p>
    <w:p w14:paraId="14C659DE" w14:textId="77777777" w:rsidR="00C03EBA" w:rsidRDefault="00000000">
      <w:pPr>
        <w:spacing w:line="440" w:lineRule="exact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五、具体要求见下表：</w:t>
      </w:r>
    </w:p>
    <w:tbl>
      <w:tblPr>
        <w:tblpPr w:leftFromText="180" w:rightFromText="180" w:vertAnchor="text" w:horzAnchor="page" w:tblpXSpec="center" w:tblpY="8"/>
        <w:tblOverlap w:val="never"/>
        <w:tblW w:w="48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4657"/>
        <w:gridCol w:w="1667"/>
      </w:tblGrid>
      <w:tr w:rsidR="000C65F8" w14:paraId="67608F44" w14:textId="77777777" w:rsidTr="00EE6DF2">
        <w:trPr>
          <w:trHeight w:val="367"/>
          <w:jc w:val="center"/>
        </w:trPr>
        <w:tc>
          <w:tcPr>
            <w:tcW w:w="1092" w:type="pct"/>
            <w:vMerge w:val="restart"/>
            <w:vAlign w:val="center"/>
          </w:tcPr>
          <w:p w14:paraId="736D3D26" w14:textId="77777777" w:rsidR="000C65F8" w:rsidRDefault="000C65F8">
            <w:pPr>
              <w:adjustRightIn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标准化得分</w:t>
            </w:r>
          </w:p>
        </w:tc>
        <w:tc>
          <w:tcPr>
            <w:tcW w:w="2878" w:type="pct"/>
            <w:vMerge w:val="restart"/>
            <w:vAlign w:val="center"/>
          </w:tcPr>
          <w:p w14:paraId="40CFCECB" w14:textId="77777777" w:rsidR="000C65F8" w:rsidRDefault="000C65F8">
            <w:pPr>
              <w:adjustRightIn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安全绩效要求</w:t>
            </w:r>
          </w:p>
        </w:tc>
        <w:tc>
          <w:tcPr>
            <w:tcW w:w="1030" w:type="pct"/>
            <w:vMerge w:val="restart"/>
            <w:vAlign w:val="center"/>
          </w:tcPr>
          <w:p w14:paraId="7F3D227A" w14:textId="77777777" w:rsidR="000C65F8" w:rsidRDefault="000C65F8">
            <w:pPr>
              <w:adjustRightIn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参考对应定级</w:t>
            </w:r>
          </w:p>
        </w:tc>
      </w:tr>
      <w:tr w:rsidR="000C65F8" w14:paraId="41662AA0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040087EE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236B680A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6A831269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</w:tr>
      <w:tr w:rsidR="000C65F8" w14:paraId="4A65BE04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08B37236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67313850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664A45D4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</w:tr>
      <w:tr w:rsidR="000C65F8" w14:paraId="7FFDFC10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37E17C29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6064F933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1CB8FE3C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</w:tr>
      <w:tr w:rsidR="000C65F8" w14:paraId="54CEA33A" w14:textId="77777777" w:rsidTr="00EE6DF2">
        <w:trPr>
          <w:trHeight w:val="367"/>
          <w:jc w:val="center"/>
        </w:trPr>
        <w:tc>
          <w:tcPr>
            <w:tcW w:w="1092" w:type="pct"/>
            <w:vMerge w:val="restart"/>
            <w:vAlign w:val="center"/>
          </w:tcPr>
          <w:p w14:paraId="409ED9FD" w14:textId="1EF87B15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rFonts w:hint="eastAsia"/>
                <w:color w:val="000000"/>
                <w:sz w:val="24"/>
              </w:rPr>
              <w:t>90</w:t>
            </w:r>
            <w:r w:rsidR="001876CF"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878" w:type="pct"/>
            <w:vMerge w:val="restart"/>
            <w:vAlign w:val="center"/>
          </w:tcPr>
          <w:p w14:paraId="291D8CB0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申请评审之日前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年内，未发生生产安全死亡事故、总计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人以上重伤事故或者直接经济损失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万元以上的事故。</w:t>
            </w:r>
          </w:p>
        </w:tc>
        <w:tc>
          <w:tcPr>
            <w:tcW w:w="1030" w:type="pct"/>
            <w:vMerge w:val="restart"/>
            <w:vAlign w:val="center"/>
          </w:tcPr>
          <w:p w14:paraId="6DAB043E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一级</w:t>
            </w:r>
          </w:p>
        </w:tc>
      </w:tr>
      <w:tr w:rsidR="000C65F8" w14:paraId="46A53489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66CBD10A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341F4AD2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2F861A21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664D79DF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274851E3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1C7A379A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17B3C306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751AC606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25FAE955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25D637D3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26285A3E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25C77B3E" w14:textId="77777777" w:rsidTr="00EE6DF2">
        <w:trPr>
          <w:trHeight w:val="367"/>
          <w:jc w:val="center"/>
        </w:trPr>
        <w:tc>
          <w:tcPr>
            <w:tcW w:w="1092" w:type="pct"/>
            <w:vMerge w:val="restart"/>
            <w:vAlign w:val="center"/>
          </w:tcPr>
          <w:p w14:paraId="709658BA" w14:textId="3D9698BD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rFonts w:hint="eastAsia"/>
                <w:color w:val="000000"/>
                <w:sz w:val="24"/>
              </w:rPr>
              <w:t>75</w:t>
            </w:r>
            <w:r w:rsidR="001876CF"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878" w:type="pct"/>
            <w:vMerge w:val="restart"/>
            <w:vAlign w:val="center"/>
          </w:tcPr>
          <w:p w14:paraId="52D6C736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申请评审之日前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年内，未发生生产安全死亡事故、总计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人以上重伤事故或者直接经济损失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万元以上的事故。</w:t>
            </w:r>
          </w:p>
        </w:tc>
        <w:tc>
          <w:tcPr>
            <w:tcW w:w="1030" w:type="pct"/>
            <w:vMerge w:val="restart"/>
            <w:vAlign w:val="center"/>
          </w:tcPr>
          <w:p w14:paraId="14A55556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</w:t>
            </w:r>
          </w:p>
        </w:tc>
      </w:tr>
      <w:tr w:rsidR="000C65F8" w14:paraId="34CA12D3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6C09D534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50450BB9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03DF9E57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7CD924BF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206BD717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64275702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5441D6C5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7FCA2B1D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568EF4D0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center"/>
          </w:tcPr>
          <w:p w14:paraId="4552C281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12FC9AC5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</w:p>
        </w:tc>
      </w:tr>
      <w:tr w:rsidR="000C65F8" w14:paraId="7B4E754B" w14:textId="77777777" w:rsidTr="00EE6DF2">
        <w:trPr>
          <w:trHeight w:val="367"/>
          <w:jc w:val="center"/>
        </w:trPr>
        <w:tc>
          <w:tcPr>
            <w:tcW w:w="1092" w:type="pct"/>
            <w:vMerge w:val="restart"/>
            <w:vAlign w:val="center"/>
          </w:tcPr>
          <w:p w14:paraId="2FD2E17A" w14:textId="556E68C5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≥</w:t>
            </w:r>
            <w:r>
              <w:rPr>
                <w:rFonts w:hint="eastAsia"/>
                <w:color w:val="000000"/>
                <w:sz w:val="24"/>
              </w:rPr>
              <w:t>60</w:t>
            </w:r>
            <w:r w:rsidR="001876CF">
              <w:rPr>
                <w:rFonts w:hint="eastAsia"/>
                <w:color w:val="000000"/>
                <w:sz w:val="24"/>
              </w:rPr>
              <w:t>0</w:t>
            </w:r>
            <w:r>
              <w:rPr>
                <w:rFonts w:hint="eastAsia"/>
                <w:color w:val="000000"/>
                <w:sz w:val="24"/>
              </w:rPr>
              <w:t>分</w:t>
            </w:r>
          </w:p>
        </w:tc>
        <w:tc>
          <w:tcPr>
            <w:tcW w:w="2878" w:type="pct"/>
            <w:vMerge w:val="restart"/>
            <w:vAlign w:val="center"/>
          </w:tcPr>
          <w:p w14:paraId="4820DAE3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申请评审之日前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年内，未发生生产安全死亡事故、总计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人以上重伤事故或者直接经济损失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万元以上的事故。</w:t>
            </w:r>
          </w:p>
        </w:tc>
        <w:tc>
          <w:tcPr>
            <w:tcW w:w="1030" w:type="pct"/>
            <w:vMerge w:val="restart"/>
            <w:vAlign w:val="center"/>
          </w:tcPr>
          <w:p w14:paraId="2F7A20F0" w14:textId="77777777" w:rsidR="000C65F8" w:rsidRDefault="000C65F8">
            <w:pPr>
              <w:adjustRightInd w:val="0"/>
              <w:spacing w:line="360" w:lineRule="exact"/>
              <w:ind w:left="16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三级</w:t>
            </w:r>
          </w:p>
        </w:tc>
      </w:tr>
      <w:tr w:rsidR="000C65F8" w14:paraId="5BCEF25B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14C40A37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3FC8A42A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0F4EC457" w14:textId="77777777" w:rsidR="000C65F8" w:rsidRDefault="000C65F8">
            <w:pPr>
              <w:adjustRightInd w:val="0"/>
              <w:spacing w:line="360" w:lineRule="exact"/>
              <w:ind w:left="160"/>
              <w:rPr>
                <w:color w:val="000000"/>
                <w:sz w:val="24"/>
              </w:rPr>
            </w:pPr>
          </w:p>
        </w:tc>
      </w:tr>
      <w:tr w:rsidR="000C65F8" w14:paraId="550D02DB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4DA45F81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35F0AC75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6D14E11D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</w:tr>
      <w:tr w:rsidR="000C65F8" w14:paraId="1869AFB5" w14:textId="77777777" w:rsidTr="00EE6DF2">
        <w:trPr>
          <w:trHeight w:val="367"/>
          <w:jc w:val="center"/>
        </w:trPr>
        <w:tc>
          <w:tcPr>
            <w:tcW w:w="1092" w:type="pct"/>
            <w:vMerge/>
            <w:vAlign w:val="bottom"/>
          </w:tcPr>
          <w:p w14:paraId="21DCCAB2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2878" w:type="pct"/>
            <w:vMerge/>
            <w:vAlign w:val="bottom"/>
          </w:tcPr>
          <w:p w14:paraId="2E58C73D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  <w:tc>
          <w:tcPr>
            <w:tcW w:w="1030" w:type="pct"/>
            <w:vMerge/>
            <w:vAlign w:val="bottom"/>
          </w:tcPr>
          <w:p w14:paraId="1EE027F5" w14:textId="77777777" w:rsidR="000C65F8" w:rsidRDefault="000C65F8">
            <w:pPr>
              <w:adjustRightInd w:val="0"/>
              <w:spacing w:line="360" w:lineRule="exact"/>
              <w:rPr>
                <w:sz w:val="24"/>
              </w:rPr>
            </w:pPr>
          </w:p>
        </w:tc>
      </w:tr>
    </w:tbl>
    <w:p w14:paraId="29867418" w14:textId="77777777" w:rsidR="00C03EBA" w:rsidRPr="00EF61C0" w:rsidRDefault="00C03EBA">
      <w:pPr>
        <w:rPr>
          <w:rFonts w:ascii="仿宋_GB2312" w:eastAsia="仿宋_GB2312" w:hAnsi="仿宋_GB2312" w:cs="仿宋_GB2312" w:hint="eastAsia"/>
          <w:sz w:val="10"/>
          <w:szCs w:val="10"/>
        </w:rPr>
      </w:pPr>
    </w:p>
    <w:sectPr w:rsidR="00C03EBA" w:rsidRPr="00EF6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2751C" w14:textId="77777777" w:rsidR="00B01758" w:rsidRDefault="00B01758">
      <w:r>
        <w:separator/>
      </w:r>
    </w:p>
  </w:endnote>
  <w:endnote w:type="continuationSeparator" w:id="0">
    <w:p w14:paraId="70D5374B" w14:textId="77777777" w:rsidR="00B01758" w:rsidRDefault="00B0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CB2F" w14:textId="77777777" w:rsidR="00A10972" w:rsidRDefault="00A109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9032" w14:textId="3464D4FF" w:rsidR="00EF61C0" w:rsidRDefault="00EF61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023E" w14:textId="77777777" w:rsidR="00A10972" w:rsidRDefault="00A109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98DD" w14:textId="77777777" w:rsidR="00B01758" w:rsidRDefault="00B01758">
      <w:r>
        <w:separator/>
      </w:r>
    </w:p>
  </w:footnote>
  <w:footnote w:type="continuationSeparator" w:id="0">
    <w:p w14:paraId="5B8A5C0A" w14:textId="77777777" w:rsidR="00B01758" w:rsidRDefault="00B0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2964A" w14:textId="77777777" w:rsidR="00A10972" w:rsidRDefault="00A109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3C22D" w14:textId="77777777" w:rsidR="00A10972" w:rsidRDefault="00A109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DB548" w14:textId="77777777" w:rsidR="00A10972" w:rsidRDefault="00A109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9719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BA"/>
    <w:rsid w:val="0006195F"/>
    <w:rsid w:val="000C65F8"/>
    <w:rsid w:val="000D4E2A"/>
    <w:rsid w:val="001876CF"/>
    <w:rsid w:val="003F6CC5"/>
    <w:rsid w:val="00540EA4"/>
    <w:rsid w:val="00561361"/>
    <w:rsid w:val="005978D6"/>
    <w:rsid w:val="007E7530"/>
    <w:rsid w:val="008157EA"/>
    <w:rsid w:val="00847676"/>
    <w:rsid w:val="008E2F81"/>
    <w:rsid w:val="008F0A29"/>
    <w:rsid w:val="00A10972"/>
    <w:rsid w:val="00A86ADA"/>
    <w:rsid w:val="00AB687C"/>
    <w:rsid w:val="00B01758"/>
    <w:rsid w:val="00B24D4E"/>
    <w:rsid w:val="00BB0993"/>
    <w:rsid w:val="00C03EBA"/>
    <w:rsid w:val="00CD151F"/>
    <w:rsid w:val="00DF30F9"/>
    <w:rsid w:val="00DF4C2E"/>
    <w:rsid w:val="00E41DA7"/>
    <w:rsid w:val="00EE6DF2"/>
    <w:rsid w:val="00EF61C0"/>
    <w:rsid w:val="013A403C"/>
    <w:rsid w:val="03A46CA6"/>
    <w:rsid w:val="099D7FB2"/>
    <w:rsid w:val="10913DB2"/>
    <w:rsid w:val="10962A7B"/>
    <w:rsid w:val="1173041C"/>
    <w:rsid w:val="146F3CC3"/>
    <w:rsid w:val="1534503D"/>
    <w:rsid w:val="16784973"/>
    <w:rsid w:val="196D4090"/>
    <w:rsid w:val="1B534CD2"/>
    <w:rsid w:val="207C0BFF"/>
    <w:rsid w:val="363077D6"/>
    <w:rsid w:val="3A355EE2"/>
    <w:rsid w:val="3E1776F5"/>
    <w:rsid w:val="422B3180"/>
    <w:rsid w:val="452C6BB3"/>
    <w:rsid w:val="47B74510"/>
    <w:rsid w:val="4A44014D"/>
    <w:rsid w:val="4E1A00EA"/>
    <w:rsid w:val="535C201F"/>
    <w:rsid w:val="550A0D63"/>
    <w:rsid w:val="624939FE"/>
    <w:rsid w:val="64053278"/>
    <w:rsid w:val="682C649F"/>
    <w:rsid w:val="7B4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D496C"/>
  <w15:docId w15:val="{2E1B336A-BEA8-45A4-9F33-7D6822F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0">
    <w:name w:val="一级条标题"/>
    <w:next w:val="a8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8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paragraph" w:customStyle="1" w:styleId="a">
    <w:name w:val="章标题"/>
    <w:next w:val="a8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9">
    <w:name w:val="二级无"/>
    <w:basedOn w:val="a1"/>
    <w:qFormat/>
    <w:pPr>
      <w:spacing w:beforeLines="0" w:before="0" w:afterLines="0" w:after="0"/>
    </w:pPr>
    <w:rPr>
      <w:rFonts w:ascii="宋体" w:eastAsia="宋体"/>
    </w:rPr>
  </w:style>
  <w:style w:type="paragraph" w:customStyle="1" w:styleId="a1">
    <w:name w:val="二级条标题"/>
    <w:basedOn w:val="a0"/>
    <w:next w:val="a8"/>
    <w:qFormat/>
    <w:pPr>
      <w:numPr>
        <w:ilvl w:val="2"/>
      </w:numPr>
      <w:spacing w:before="50" w:after="5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Wildest King</cp:lastModifiedBy>
  <cp:revision>10</cp:revision>
  <dcterms:created xsi:type="dcterms:W3CDTF">2021-07-30T07:50:00Z</dcterms:created>
  <dcterms:modified xsi:type="dcterms:W3CDTF">2024-07-20T05:25:00Z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